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537049">
        <w:rPr>
          <w:rFonts w:ascii="Times New Roman" w:eastAsia="Times New Roman" w:hAnsi="Times New Roman" w:cs="Times New Roman"/>
          <w:b/>
          <w:sz w:val="28"/>
        </w:rPr>
        <w:t>3</w:t>
      </w:r>
      <w:r w:rsidR="009A5A99">
        <w:rPr>
          <w:rFonts w:ascii="Times New Roman" w:eastAsia="Times New Roman" w:hAnsi="Times New Roman" w:cs="Times New Roman"/>
          <w:b/>
          <w:sz w:val="28"/>
        </w:rPr>
        <w:t>1</w:t>
      </w: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A022D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Konané dne:</w:t>
      </w:r>
      <w:r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4D509C" w:rsidRPr="004D509C">
        <w:rPr>
          <w:rFonts w:ascii="Times New Roman" w:eastAsia="Times New Roman" w:hAnsi="Times New Roman" w:cs="Times New Roman"/>
          <w:sz w:val="28"/>
        </w:rPr>
        <w:t>2</w:t>
      </w:r>
      <w:r w:rsidR="00840AAA">
        <w:rPr>
          <w:rFonts w:ascii="Times New Roman" w:eastAsia="Times New Roman" w:hAnsi="Times New Roman" w:cs="Times New Roman"/>
          <w:sz w:val="28"/>
        </w:rPr>
        <w:t>0</w:t>
      </w:r>
      <w:r w:rsidR="004D509C" w:rsidRPr="004D509C">
        <w:rPr>
          <w:rFonts w:ascii="Times New Roman" w:eastAsia="Times New Roman" w:hAnsi="Times New Roman" w:cs="Times New Roman"/>
          <w:sz w:val="28"/>
        </w:rPr>
        <w:t>.02.</w:t>
      </w:r>
      <w:r w:rsidR="00371183" w:rsidRPr="004D509C">
        <w:rPr>
          <w:rFonts w:ascii="Times New Roman" w:eastAsia="Times New Roman" w:hAnsi="Times New Roman" w:cs="Times New Roman"/>
          <w:sz w:val="28"/>
        </w:rPr>
        <w:t>202</w:t>
      </w:r>
      <w:r w:rsidR="009A5A99" w:rsidRPr="004D509C">
        <w:rPr>
          <w:rFonts w:ascii="Times New Roman" w:eastAsia="Times New Roman" w:hAnsi="Times New Roman" w:cs="Times New Roman"/>
          <w:sz w:val="28"/>
        </w:rPr>
        <w:t>5</w:t>
      </w:r>
    </w:p>
    <w:p w:rsidR="00F31172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9A5A99">
        <w:rPr>
          <w:rFonts w:ascii="Times New Roman" w:eastAsia="Times New Roman" w:hAnsi="Times New Roman" w:cs="Times New Roman"/>
          <w:sz w:val="28"/>
        </w:rPr>
        <w:t>5</w:t>
      </w:r>
    </w:p>
    <w:p w:rsidR="008D5C04" w:rsidRPr="00A022D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B61D00" w:rsidRDefault="000461FD" w:rsidP="00DB34FF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B54A5C" w:rsidRPr="00B54A5C">
        <w:rPr>
          <w:rFonts w:ascii="Times New Roman" w:eastAsia="Times New Roman" w:hAnsi="Times New Roman" w:cs="Times New Roman"/>
          <w:sz w:val="28"/>
        </w:rPr>
        <w:t>Aktuální informace k Operačnímu programu Spravedlivá transformace</w:t>
      </w:r>
    </w:p>
    <w:p w:rsidR="00537049" w:rsidRPr="00A022D3" w:rsidRDefault="00537049" w:rsidP="00DB34FF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187D4E" w:rsidRPr="00187D4E" w:rsidRDefault="004F6236" w:rsidP="00187D4E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9A5A99">
        <w:rPr>
          <w:rFonts w:ascii="Times New Roman" w:eastAsia="Times New Roman" w:hAnsi="Times New Roman" w:cs="Times New Roman"/>
          <w:sz w:val="28"/>
        </w:rPr>
        <w:t>Martin Hurajčík</w:t>
      </w:r>
      <w:r w:rsidR="00187D4E" w:rsidRPr="00187D4E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A022D3" w:rsidRDefault="009A5A99" w:rsidP="00187D4E">
      <w:pPr>
        <w:spacing w:line="240" w:lineRule="auto"/>
        <w:ind w:left="1440"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náměstek hejtmanky Karlovarského kraje</w:t>
      </w:r>
    </w:p>
    <w:p w:rsidR="006015F9" w:rsidRPr="00A022D3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A022D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A022D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A022D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Pr="00CB71D3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D3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60093E" w:rsidRPr="00CB71D3" w:rsidRDefault="0060093E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093E" w:rsidRPr="00CB71D3" w:rsidRDefault="0060093E" w:rsidP="0060093E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B71D3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60093E" w:rsidRDefault="0060093E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CB71D3">
        <w:rPr>
          <w:rFonts w:ascii="Times New Roman" w:eastAsia="Times New Roman" w:hAnsi="Times New Roman"/>
          <w:sz w:val="24"/>
          <w:szCs w:val="24"/>
        </w:rPr>
        <w:t>aktuální informace k Operačnímu programu Spravedlivá transformace</w:t>
      </w:r>
    </w:p>
    <w:p w:rsidR="007926F7" w:rsidRDefault="007926F7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7926F7" w:rsidRDefault="007926F7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7926F7" w:rsidRDefault="007926F7" w:rsidP="007926F7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926F7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7926F7" w:rsidRDefault="007926F7" w:rsidP="007926F7">
      <w:pPr>
        <w:pStyle w:val="Default"/>
      </w:pPr>
      <w:r w:rsidRPr="007926F7">
        <w:rPr>
          <w:rFonts w:eastAsia="Times New Roman"/>
        </w:rPr>
        <w:t>odstoupení Karlovarského kraje od projektu "Kulturní a kreativní odvětví - Krajská kulturní a kreativní kancelář - 4K"</w:t>
      </w:r>
      <w:r>
        <w:rPr>
          <w:rFonts w:eastAsia="Times New Roman"/>
        </w:rPr>
        <w:t xml:space="preserve"> </w:t>
      </w:r>
      <w:r w:rsidRPr="007926F7">
        <w:t xml:space="preserve">s tím, že finanční zdroje budou využity přímo v území v rámci kulturního a kreativního odvětví </w:t>
      </w:r>
    </w:p>
    <w:p w:rsidR="00123139" w:rsidRDefault="00123139" w:rsidP="007926F7">
      <w:pPr>
        <w:pStyle w:val="Default"/>
      </w:pPr>
    </w:p>
    <w:p w:rsidR="00123139" w:rsidRPr="00123139" w:rsidRDefault="00123139" w:rsidP="00123139">
      <w:pPr>
        <w:pStyle w:val="Default"/>
        <w:numPr>
          <w:ilvl w:val="0"/>
          <w:numId w:val="22"/>
        </w:numPr>
      </w:pPr>
      <w:r>
        <w:rPr>
          <w:b/>
        </w:rPr>
        <w:t>berou na vědomí</w:t>
      </w:r>
    </w:p>
    <w:p w:rsidR="00123139" w:rsidRPr="00123139" w:rsidRDefault="00123139" w:rsidP="00123139">
      <w:pPr>
        <w:pStyle w:val="Default"/>
        <w:ind w:left="720"/>
      </w:pPr>
    </w:p>
    <w:p w:rsidR="00123139" w:rsidRDefault="00123139" w:rsidP="00123139">
      <w:pPr>
        <w:pStyle w:val="Default"/>
      </w:pPr>
      <w:r>
        <w:t>stanovisko Evropské komise k projektu „</w:t>
      </w:r>
      <w:r w:rsidRPr="00123139">
        <w:t xml:space="preserve">Regenerace </w:t>
      </w:r>
      <w:proofErr w:type="spellStart"/>
      <w:r w:rsidRPr="00123139">
        <w:t>brownfieldu</w:t>
      </w:r>
      <w:proofErr w:type="spellEnd"/>
      <w:r w:rsidRPr="00123139">
        <w:t xml:space="preserve"> Horský hotel Klínovec a jeho okolí</w:t>
      </w:r>
      <w:r>
        <w:t>“</w:t>
      </w:r>
    </w:p>
    <w:p w:rsidR="00123139" w:rsidRDefault="00123139" w:rsidP="00123139">
      <w:pPr>
        <w:pStyle w:val="Default"/>
      </w:pPr>
    </w:p>
    <w:p w:rsidR="00123139" w:rsidRPr="00123139" w:rsidRDefault="00123139" w:rsidP="00123139">
      <w:pPr>
        <w:pStyle w:val="Default"/>
        <w:numPr>
          <w:ilvl w:val="0"/>
          <w:numId w:val="22"/>
        </w:numPr>
        <w:rPr>
          <w:b/>
        </w:rPr>
      </w:pPr>
      <w:r w:rsidRPr="00123139">
        <w:rPr>
          <w:b/>
        </w:rPr>
        <w:t>doporučuje</w:t>
      </w:r>
    </w:p>
    <w:p w:rsidR="00123139" w:rsidRDefault="00123139" w:rsidP="00123139">
      <w:pPr>
        <w:pStyle w:val="Default"/>
      </w:pPr>
    </w:p>
    <w:p w:rsidR="007926F7" w:rsidRPr="007926F7" w:rsidRDefault="00FC227F" w:rsidP="007926F7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FC227F">
        <w:rPr>
          <w:rFonts w:ascii="Times New Roman" w:eastAsia="Times New Roman" w:hAnsi="Times New Roman" w:cs="Times New Roman"/>
          <w:sz w:val="24"/>
          <w:szCs w:val="24"/>
        </w:rPr>
        <w:t xml:space="preserve">zástupcům nositele projektu „Regenerace </w:t>
      </w:r>
      <w:proofErr w:type="spellStart"/>
      <w:r w:rsidRPr="00FC227F">
        <w:rPr>
          <w:rFonts w:ascii="Times New Roman" w:eastAsia="Times New Roman" w:hAnsi="Times New Roman" w:cs="Times New Roman"/>
          <w:sz w:val="24"/>
          <w:szCs w:val="24"/>
        </w:rPr>
        <w:t>brownfieldu</w:t>
      </w:r>
      <w:proofErr w:type="spellEnd"/>
      <w:r w:rsidRPr="00FC227F">
        <w:rPr>
          <w:rFonts w:ascii="Times New Roman" w:eastAsia="Times New Roman" w:hAnsi="Times New Roman" w:cs="Times New Roman"/>
          <w:sz w:val="24"/>
          <w:szCs w:val="24"/>
        </w:rPr>
        <w:t xml:space="preserve"> Horský hotel Klínovec a jeho okolí“ zahájit jednání s řídicím orgánem OPST o změně projektu</w:t>
      </w:r>
      <w:bookmarkStart w:id="0" w:name="_GoBack"/>
      <w:bookmarkEnd w:id="0"/>
    </w:p>
    <w:p w:rsidR="006368DC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710F" w:rsidRDefault="0051710F" w:rsidP="00E14EC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</w:pPr>
    </w:p>
    <w:p w:rsidR="00B411B2" w:rsidRPr="00697BBF" w:rsidRDefault="00B411B2" w:rsidP="00E14E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7BB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Důvodová zpráva</w:t>
      </w:r>
      <w:r w:rsidR="00FC1FE9" w:rsidRPr="00697BB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A81F70" w:rsidRPr="00697BBF" w:rsidRDefault="004C20DE" w:rsidP="00B468F0">
      <w:pPr>
        <w:pStyle w:val="Default"/>
        <w:jc w:val="both"/>
      </w:pPr>
      <w:r w:rsidRPr="00697BBF">
        <w:t>Martin Hurajčík</w:t>
      </w:r>
      <w:r w:rsidR="00A81F70" w:rsidRPr="00697BBF">
        <w:t xml:space="preserve"> informuje o aktuálním dění v oblasti Operačního programu Spravedlivé transformace a plánovaných aktivitách v rámci </w:t>
      </w:r>
      <w:r w:rsidR="001F6952" w:rsidRPr="00697BBF">
        <w:t>implementace</w:t>
      </w:r>
      <w:r w:rsidR="00A81F70" w:rsidRPr="00697BBF">
        <w:t xml:space="preserve"> OPST.</w:t>
      </w:r>
    </w:p>
    <w:p w:rsidR="00D93B53" w:rsidRPr="009A5A99" w:rsidRDefault="00D93B53" w:rsidP="00B468F0">
      <w:pPr>
        <w:pStyle w:val="Default"/>
        <w:jc w:val="both"/>
        <w:rPr>
          <w:highlight w:val="yellow"/>
        </w:rPr>
      </w:pPr>
    </w:p>
    <w:p w:rsidR="00D93B53" w:rsidRPr="009A5A99" w:rsidRDefault="00D93B53" w:rsidP="00D93B53">
      <w:pPr>
        <w:pStyle w:val="Default"/>
        <w:jc w:val="both"/>
        <w:rPr>
          <w:highlight w:val="yellow"/>
        </w:rPr>
      </w:pPr>
    </w:p>
    <w:p w:rsidR="00B468F0" w:rsidRPr="007926F7" w:rsidRDefault="00B468F0" w:rsidP="00B468F0">
      <w:pPr>
        <w:pStyle w:val="Default"/>
        <w:jc w:val="both"/>
        <w:rPr>
          <w:lang w:val="x-none"/>
        </w:rPr>
      </w:pPr>
      <w:r w:rsidRPr="007926F7">
        <w:rPr>
          <w:b/>
          <w:bCs/>
          <w:lang w:val="x-none"/>
        </w:rPr>
        <w:t>Strategické projekty (dále také „SP“):</w:t>
      </w:r>
    </w:p>
    <w:p w:rsidR="00B468F0" w:rsidRDefault="00B468F0" w:rsidP="00B468F0">
      <w:pPr>
        <w:pStyle w:val="Default"/>
        <w:jc w:val="both"/>
      </w:pPr>
      <w:r w:rsidRPr="007926F7">
        <w:t>Aktuální informace o procesu schválení a postupu realizace strategických projektů Operačního programu Spravedlivá transformace naleznete v příloze č. 1 tohoto materiálu. Předpokládaná maximální celková výše dotace u SP z OPST činí 3</w:t>
      </w:r>
      <w:r w:rsidR="007926F7" w:rsidRPr="007926F7">
        <w:t> 214 558 371</w:t>
      </w:r>
      <w:r w:rsidRPr="007926F7">
        <w:t>,- Kč.</w:t>
      </w:r>
    </w:p>
    <w:p w:rsidR="007926F7" w:rsidRDefault="007926F7" w:rsidP="00B468F0">
      <w:pPr>
        <w:pStyle w:val="Default"/>
        <w:jc w:val="both"/>
      </w:pPr>
      <w:r>
        <w:rPr>
          <w:i/>
        </w:rPr>
        <w:t>Kulturní a kreativní odvětví – Krajská kulturní a kreativní kancelář</w:t>
      </w:r>
      <w:r w:rsidR="002349DB">
        <w:rPr>
          <w:i/>
        </w:rPr>
        <w:t xml:space="preserve"> – 4K – </w:t>
      </w:r>
      <w:r w:rsidR="002349DB">
        <w:t>dne 10. 2. 2025 Zastupitelstvo Karlovarského kraje schválilo odstoupení Karlovarského kraje od projektu s tím, že finanční zdroje budou využity přímo v území v rámci kulturního a kreativního odvětví.</w:t>
      </w:r>
    </w:p>
    <w:p w:rsidR="002349DB" w:rsidRDefault="002349DB" w:rsidP="00B468F0">
      <w:pPr>
        <w:pStyle w:val="Default"/>
        <w:jc w:val="both"/>
      </w:pPr>
      <w:r>
        <w:t xml:space="preserve">Činnosti a aktivity 4K – Agentury pro kulturní a kreativní průmysly Karlovarského kraje, z. </w:t>
      </w:r>
      <w:proofErr w:type="spellStart"/>
      <w:r>
        <w:t>ú.</w:t>
      </w:r>
      <w:proofErr w:type="spellEnd"/>
      <w:r>
        <w:t xml:space="preserve"> budou přesunuty pod Karlovarskou agenturu rozvoje podnikání, příspěvková organizace a odbor kultury, památkové péče, lázeňství a cestovního ruchu.</w:t>
      </w:r>
    </w:p>
    <w:p w:rsidR="00B468F0" w:rsidRPr="009A5A99" w:rsidRDefault="00B468F0" w:rsidP="00B468F0">
      <w:pPr>
        <w:pStyle w:val="Default"/>
        <w:jc w:val="both"/>
        <w:rPr>
          <w:highlight w:val="yellow"/>
          <w:lang w:val="x-none"/>
        </w:rPr>
      </w:pPr>
    </w:p>
    <w:p w:rsidR="00B468F0" w:rsidRPr="00144D8F" w:rsidRDefault="00B468F0" w:rsidP="00B468F0">
      <w:pPr>
        <w:pStyle w:val="Default"/>
        <w:jc w:val="both"/>
        <w:rPr>
          <w:b/>
          <w:bCs/>
          <w:lang w:val="x-none"/>
        </w:rPr>
      </w:pPr>
      <w:r w:rsidRPr="00144D8F">
        <w:rPr>
          <w:b/>
          <w:bCs/>
          <w:lang w:val="x-none"/>
        </w:rPr>
        <w:t>Tematické výzvy:</w:t>
      </w:r>
    </w:p>
    <w:p w:rsidR="00B468F0" w:rsidRPr="00144D8F" w:rsidRDefault="00B468F0" w:rsidP="00B468F0">
      <w:pPr>
        <w:pStyle w:val="Default"/>
        <w:jc w:val="both"/>
        <w:rPr>
          <w:lang w:val="x-none"/>
        </w:rPr>
      </w:pPr>
      <w:r w:rsidRPr="00144D8F">
        <w:rPr>
          <w:lang w:val="x-none"/>
        </w:rPr>
        <w:t xml:space="preserve">Podrobné informace o stavu čerpání již vyhlášených výzev za Karlovarský kraj naleznete v příloze </w:t>
      </w:r>
      <w:r w:rsidRPr="002349DB">
        <w:rPr>
          <w:lang w:val="x-none"/>
        </w:rPr>
        <w:t xml:space="preserve">č. </w:t>
      </w:r>
      <w:r w:rsidR="002349DB" w:rsidRPr="002349DB">
        <w:t>2</w:t>
      </w:r>
      <w:r w:rsidRPr="00144D8F">
        <w:rPr>
          <w:lang w:val="x-none"/>
        </w:rPr>
        <w:t xml:space="preserve"> tohoto materiálu.</w:t>
      </w:r>
    </w:p>
    <w:p w:rsidR="00B468F0" w:rsidRPr="009A5A99" w:rsidRDefault="00B468F0" w:rsidP="00B468F0">
      <w:pPr>
        <w:pStyle w:val="Default"/>
        <w:jc w:val="both"/>
        <w:rPr>
          <w:b/>
          <w:bCs/>
          <w:highlight w:val="yellow"/>
          <w:lang w:val="x-none"/>
        </w:rPr>
      </w:pPr>
    </w:p>
    <w:p w:rsidR="00B468F0" w:rsidRPr="00EC0FFD" w:rsidRDefault="00B468F0" w:rsidP="00B468F0">
      <w:pPr>
        <w:pStyle w:val="Default"/>
        <w:jc w:val="both"/>
        <w:rPr>
          <w:bCs/>
          <w:u w:val="single"/>
          <w:lang w:val="x-none"/>
        </w:rPr>
      </w:pPr>
      <w:r w:rsidRPr="00EC0FFD">
        <w:rPr>
          <w:bCs/>
          <w:u w:val="single"/>
          <w:lang w:val="x-none"/>
        </w:rPr>
        <w:t>Připravované výzvy:</w:t>
      </w:r>
    </w:p>
    <w:p w:rsidR="00570EAB" w:rsidRDefault="00EC0FFD" w:rsidP="00B468F0">
      <w:pPr>
        <w:pStyle w:val="Default"/>
        <w:jc w:val="both"/>
        <w:rPr>
          <w:i/>
        </w:rPr>
      </w:pPr>
      <w:r w:rsidRPr="00EC0FFD">
        <w:rPr>
          <w:i/>
        </w:rPr>
        <w:t xml:space="preserve">Věda a </w:t>
      </w:r>
      <w:r w:rsidR="000D74E4" w:rsidRPr="00EC0FFD">
        <w:rPr>
          <w:i/>
        </w:rPr>
        <w:t>výzkum – budování</w:t>
      </w:r>
      <w:r w:rsidRPr="00EC0FFD">
        <w:rPr>
          <w:i/>
        </w:rPr>
        <w:t xml:space="preserve"> výzkumných kapacit</w:t>
      </w:r>
    </w:p>
    <w:p w:rsidR="00EC0FFD" w:rsidRDefault="00EC0FFD" w:rsidP="00B468F0">
      <w:pPr>
        <w:pStyle w:val="Default"/>
        <w:jc w:val="both"/>
        <w:rPr>
          <w:i/>
        </w:rPr>
      </w:pPr>
      <w:r w:rsidRPr="00EC0FFD">
        <w:rPr>
          <w:i/>
        </w:rPr>
        <w:t xml:space="preserve">Podpora regionálního školství </w:t>
      </w:r>
      <w:r>
        <w:rPr>
          <w:i/>
        </w:rPr>
        <w:t>–</w:t>
      </w:r>
      <w:r w:rsidRPr="00EC0FFD">
        <w:rPr>
          <w:i/>
        </w:rPr>
        <w:t xml:space="preserve"> rozšířená</w:t>
      </w:r>
    </w:p>
    <w:p w:rsidR="00EC0FFD" w:rsidRDefault="00EC0FFD" w:rsidP="00B468F0">
      <w:pPr>
        <w:pStyle w:val="Default"/>
        <w:jc w:val="both"/>
        <w:rPr>
          <w:i/>
        </w:rPr>
      </w:pPr>
      <w:r w:rsidRPr="00EC0FFD">
        <w:rPr>
          <w:i/>
        </w:rPr>
        <w:t>Záruka transformace</w:t>
      </w:r>
    </w:p>
    <w:p w:rsidR="00EC0FFD" w:rsidRDefault="00EC0FFD" w:rsidP="00B468F0">
      <w:pPr>
        <w:pStyle w:val="Default"/>
        <w:jc w:val="both"/>
        <w:rPr>
          <w:i/>
        </w:rPr>
      </w:pPr>
      <w:r w:rsidRPr="00EC0FFD">
        <w:rPr>
          <w:i/>
        </w:rPr>
        <w:t>Podpora start-</w:t>
      </w:r>
      <w:proofErr w:type="spellStart"/>
      <w:r w:rsidRPr="00EC0FFD">
        <w:rPr>
          <w:i/>
        </w:rPr>
        <w:t>upů</w:t>
      </w:r>
      <w:proofErr w:type="spellEnd"/>
    </w:p>
    <w:p w:rsidR="00EC0FFD" w:rsidRDefault="00EC0FFD" w:rsidP="00B468F0">
      <w:pPr>
        <w:pStyle w:val="Default"/>
        <w:jc w:val="both"/>
        <w:rPr>
          <w:i/>
        </w:rPr>
      </w:pPr>
      <w:r w:rsidRPr="00EC0FFD">
        <w:rPr>
          <w:i/>
        </w:rPr>
        <w:t xml:space="preserve">Regenerace </w:t>
      </w:r>
      <w:proofErr w:type="spellStart"/>
      <w:r w:rsidRPr="00EC0FFD">
        <w:rPr>
          <w:i/>
        </w:rPr>
        <w:t>brownfields</w:t>
      </w:r>
      <w:proofErr w:type="spellEnd"/>
      <w:r w:rsidRPr="00EC0FFD">
        <w:rPr>
          <w:i/>
        </w:rPr>
        <w:t xml:space="preserve"> pro nepodnikatelské účely</w:t>
      </w:r>
    </w:p>
    <w:p w:rsidR="00EC0FFD" w:rsidRDefault="00EC0FFD" w:rsidP="00B468F0">
      <w:pPr>
        <w:pStyle w:val="Default"/>
        <w:jc w:val="both"/>
        <w:rPr>
          <w:i/>
        </w:rPr>
      </w:pPr>
      <w:r w:rsidRPr="00EC0FFD">
        <w:rPr>
          <w:i/>
        </w:rPr>
        <w:t>Příprava SP pro 28+</w:t>
      </w:r>
    </w:p>
    <w:p w:rsidR="00EC0FFD" w:rsidRDefault="00EC0FFD" w:rsidP="00B468F0">
      <w:pPr>
        <w:pStyle w:val="Default"/>
        <w:jc w:val="both"/>
        <w:rPr>
          <w:i/>
        </w:rPr>
      </w:pPr>
      <w:r w:rsidRPr="00EC0FFD">
        <w:rPr>
          <w:i/>
        </w:rPr>
        <w:t>Regionální inovační údolí</w:t>
      </w:r>
    </w:p>
    <w:p w:rsidR="00EC0FFD" w:rsidRDefault="00EC0FFD" w:rsidP="00B468F0">
      <w:pPr>
        <w:pStyle w:val="Default"/>
        <w:jc w:val="both"/>
        <w:rPr>
          <w:i/>
        </w:rPr>
      </w:pPr>
      <w:r w:rsidRPr="00EC0FFD">
        <w:rPr>
          <w:i/>
        </w:rPr>
        <w:t>Příprava projektů pro VS II</w:t>
      </w:r>
    </w:p>
    <w:p w:rsidR="0095650F" w:rsidRDefault="0095650F" w:rsidP="00B468F0">
      <w:pPr>
        <w:pStyle w:val="Default"/>
        <w:jc w:val="both"/>
        <w:rPr>
          <w:i/>
        </w:rPr>
      </w:pPr>
    </w:p>
    <w:p w:rsidR="0095650F" w:rsidRDefault="0095650F" w:rsidP="00B468F0">
      <w:pPr>
        <w:pStyle w:val="Default"/>
        <w:jc w:val="both"/>
        <w:rPr>
          <w:u w:val="single"/>
        </w:rPr>
      </w:pPr>
      <w:r>
        <w:rPr>
          <w:u w:val="single"/>
        </w:rPr>
        <w:t>Diskutovaná témata:</w:t>
      </w:r>
    </w:p>
    <w:p w:rsidR="0095650F" w:rsidRDefault="0095650F" w:rsidP="0095650F">
      <w:pPr>
        <w:pStyle w:val="Default"/>
        <w:jc w:val="both"/>
        <w:rPr>
          <w:bCs/>
          <w:i/>
          <w:lang w:val="x-none"/>
        </w:rPr>
      </w:pPr>
      <w:r w:rsidRPr="00EC0FFD">
        <w:rPr>
          <w:bCs/>
          <w:i/>
          <w:lang w:val="x-none"/>
        </w:rPr>
        <w:t>O</w:t>
      </w:r>
      <w:r w:rsidRPr="00EC0FFD">
        <w:rPr>
          <w:bCs/>
          <w:i/>
        </w:rPr>
        <w:t>bnova území</w:t>
      </w:r>
      <w:r w:rsidRPr="00EC0FFD">
        <w:rPr>
          <w:bCs/>
          <w:i/>
          <w:lang w:val="x-none"/>
        </w:rPr>
        <w:t xml:space="preserve"> - Veřejné služby, kultura, sport, rekreace II</w:t>
      </w:r>
    </w:p>
    <w:p w:rsidR="0095650F" w:rsidRDefault="0095650F" w:rsidP="0095650F">
      <w:pPr>
        <w:pStyle w:val="Default"/>
        <w:jc w:val="both"/>
        <w:rPr>
          <w:i/>
        </w:rPr>
      </w:pPr>
      <w:r w:rsidRPr="00EC0FFD">
        <w:rPr>
          <w:i/>
        </w:rPr>
        <w:t>Vouchery pro podnikatele II</w:t>
      </w:r>
    </w:p>
    <w:p w:rsidR="0095650F" w:rsidRDefault="0095650F" w:rsidP="0095650F">
      <w:pPr>
        <w:pStyle w:val="Default"/>
        <w:jc w:val="both"/>
        <w:rPr>
          <w:i/>
        </w:rPr>
      </w:pPr>
      <w:r w:rsidRPr="00EC0FFD">
        <w:rPr>
          <w:i/>
        </w:rPr>
        <w:t>Náborové příspěvky pro učitele II</w:t>
      </w:r>
    </w:p>
    <w:p w:rsidR="0095650F" w:rsidRPr="0095650F" w:rsidRDefault="0095650F" w:rsidP="0095650F">
      <w:pPr>
        <w:pStyle w:val="Default"/>
        <w:jc w:val="both"/>
        <w:rPr>
          <w:bCs/>
          <w:i/>
        </w:rPr>
      </w:pPr>
      <w:r w:rsidRPr="0095650F">
        <w:rPr>
          <w:bCs/>
          <w:i/>
        </w:rPr>
        <w:t>Příprava a realizace projektů pro rozvoj vodíkového hospodářství</w:t>
      </w:r>
    </w:p>
    <w:p w:rsidR="0095650F" w:rsidRPr="0095650F" w:rsidRDefault="0095650F" w:rsidP="0095650F">
      <w:pPr>
        <w:pStyle w:val="Default"/>
        <w:jc w:val="both"/>
        <w:rPr>
          <w:bCs/>
          <w:i/>
        </w:rPr>
      </w:pPr>
      <w:r w:rsidRPr="0095650F">
        <w:rPr>
          <w:bCs/>
          <w:i/>
        </w:rPr>
        <w:t>Podnikatelské huby / inkubátory</w:t>
      </w:r>
    </w:p>
    <w:p w:rsidR="0095650F" w:rsidRDefault="0095650F" w:rsidP="0095650F">
      <w:pPr>
        <w:pStyle w:val="Default"/>
        <w:jc w:val="both"/>
        <w:rPr>
          <w:bCs/>
          <w:i/>
        </w:rPr>
      </w:pPr>
      <w:r w:rsidRPr="0095650F">
        <w:rPr>
          <w:bCs/>
          <w:i/>
        </w:rPr>
        <w:t>Oběhové hospodářství – třídění a dotřiďování, prevence vzniku a materiálové využití odpadu</w:t>
      </w:r>
    </w:p>
    <w:p w:rsidR="0095650F" w:rsidRPr="0095650F" w:rsidRDefault="0095650F" w:rsidP="0095650F">
      <w:pPr>
        <w:pStyle w:val="Default"/>
        <w:jc w:val="both"/>
        <w:rPr>
          <w:bCs/>
          <w:i/>
        </w:rPr>
      </w:pPr>
      <w:r>
        <w:rPr>
          <w:bCs/>
          <w:i/>
        </w:rPr>
        <w:t>Energetické úspory ve veřejné infrastruktuře</w:t>
      </w:r>
    </w:p>
    <w:p w:rsidR="0095650F" w:rsidRPr="0095650F" w:rsidRDefault="0095650F" w:rsidP="00B468F0">
      <w:pPr>
        <w:pStyle w:val="Default"/>
        <w:jc w:val="both"/>
        <w:rPr>
          <w:i/>
          <w:lang w:val="x-none"/>
        </w:rPr>
      </w:pPr>
    </w:p>
    <w:p w:rsidR="00EC0FFD" w:rsidRPr="00EC0FFD" w:rsidRDefault="00EC0FFD" w:rsidP="00B468F0">
      <w:pPr>
        <w:pStyle w:val="Default"/>
        <w:jc w:val="both"/>
        <w:rPr>
          <w:i/>
          <w:highlight w:val="yellow"/>
        </w:rPr>
      </w:pPr>
    </w:p>
    <w:p w:rsidR="00B468F0" w:rsidRDefault="00B468F0" w:rsidP="00B468F0">
      <w:pPr>
        <w:pStyle w:val="Default"/>
        <w:jc w:val="both"/>
        <w:rPr>
          <w:b/>
          <w:bCs/>
          <w:lang w:val="x-none"/>
        </w:rPr>
      </w:pPr>
      <w:r w:rsidRPr="00AE74CC">
        <w:rPr>
          <w:b/>
          <w:bCs/>
          <w:lang w:val="x-none"/>
        </w:rPr>
        <w:t>Zastřešující projekty OPST Karlovarského kraje:</w:t>
      </w:r>
    </w:p>
    <w:p w:rsidR="0095650F" w:rsidRDefault="0095650F" w:rsidP="00B468F0">
      <w:pPr>
        <w:pStyle w:val="Default"/>
        <w:jc w:val="both"/>
        <w:rPr>
          <w:bCs/>
        </w:rPr>
      </w:pPr>
      <w:r>
        <w:rPr>
          <w:bCs/>
        </w:rPr>
        <w:t>Aktuální stav čerpání zastřešujících projektů OPST ke dni 10. 2. 2025:</w:t>
      </w:r>
    </w:p>
    <w:p w:rsidR="0095650F" w:rsidRPr="0095650F" w:rsidRDefault="0095650F" w:rsidP="00B468F0">
      <w:pPr>
        <w:pStyle w:val="Default"/>
        <w:jc w:val="both"/>
        <w:rPr>
          <w:bCs/>
        </w:rPr>
      </w:pPr>
    </w:p>
    <w:p w:rsidR="00C71B5E" w:rsidRPr="00AE74CC" w:rsidRDefault="00B468F0" w:rsidP="00B468F0">
      <w:pPr>
        <w:pStyle w:val="Default"/>
        <w:jc w:val="both"/>
      </w:pPr>
      <w:r w:rsidRPr="00AE74CC">
        <w:rPr>
          <w:u w:val="single"/>
          <w:lang w:val="x-none"/>
        </w:rPr>
        <w:t>Vouchery pro podnikatele</w:t>
      </w:r>
      <w:r w:rsidRPr="00AE74CC">
        <w:rPr>
          <w:lang w:val="x-none"/>
        </w:rPr>
        <w:t xml:space="preserve"> –</w:t>
      </w:r>
      <w:r w:rsidR="0095650F">
        <w:t xml:space="preserve"> příjem žádostí byl ukončen</w:t>
      </w:r>
      <w:r w:rsidR="00AC327F">
        <w:t xml:space="preserve"> dne 28. 6. 2024.</w:t>
      </w:r>
      <w:r w:rsidR="0095650F">
        <w:t xml:space="preserve"> </w:t>
      </w:r>
      <w:r w:rsidR="001C0446">
        <w:t xml:space="preserve">Celková alokace programu činila </w:t>
      </w:r>
      <w:r w:rsidR="001C0446" w:rsidRPr="001C0446">
        <w:t>28</w:t>
      </w:r>
      <w:r w:rsidR="001C0446">
        <w:t> </w:t>
      </w:r>
      <w:r w:rsidR="001C0446" w:rsidRPr="001C0446">
        <w:t>037</w:t>
      </w:r>
      <w:r w:rsidR="001C0446">
        <w:t> </w:t>
      </w:r>
      <w:r w:rsidR="001C0446" w:rsidRPr="001C0446">
        <w:t>383 Kč</w:t>
      </w:r>
      <w:r w:rsidR="001C0446">
        <w:t>. C</w:t>
      </w:r>
      <w:r w:rsidR="0095650F">
        <w:t>elkem bylo podáno</w:t>
      </w:r>
      <w:r w:rsidRPr="00AE74CC">
        <w:rPr>
          <w:lang w:val="x-none"/>
        </w:rPr>
        <w:t xml:space="preserve"> 185 žádostí v celkovém finančním objemu </w:t>
      </w:r>
      <w:r w:rsidR="00AE74CC" w:rsidRPr="00AE74CC">
        <w:t>7</w:t>
      </w:r>
      <w:r w:rsidRPr="00AE74CC">
        <w:rPr>
          <w:lang w:val="x-none"/>
        </w:rPr>
        <w:t xml:space="preserve">0 mil. Kč. Počet schválených žádostí Radou Karlovarského kraje je celkem </w:t>
      </w:r>
      <w:r w:rsidR="00AE74CC" w:rsidRPr="00AE74CC">
        <w:t>69</w:t>
      </w:r>
      <w:r w:rsidRPr="00AE74CC">
        <w:rPr>
          <w:lang w:val="x-none"/>
        </w:rPr>
        <w:t xml:space="preserve"> žádostí v</w:t>
      </w:r>
      <w:r w:rsidR="00C71B5E" w:rsidRPr="00AE74CC">
        <w:t xml:space="preserve"> </w:t>
      </w:r>
      <w:r w:rsidRPr="00AE74CC">
        <w:rPr>
          <w:lang w:val="x-none"/>
        </w:rPr>
        <w:t xml:space="preserve">celkové výši </w:t>
      </w:r>
      <w:r w:rsidR="00AE74CC" w:rsidRPr="00AE74CC">
        <w:t>25</w:t>
      </w:r>
      <w:r w:rsidRPr="00AE74CC">
        <w:rPr>
          <w:lang w:val="x-none"/>
        </w:rPr>
        <w:t xml:space="preserve"> mil. Kč</w:t>
      </w:r>
      <w:r w:rsidR="00C71B5E" w:rsidRPr="00AE74CC">
        <w:t>.</w:t>
      </w:r>
    </w:p>
    <w:p w:rsidR="00C71B5E" w:rsidRPr="009A5A99" w:rsidRDefault="00C71B5E" w:rsidP="00B468F0">
      <w:pPr>
        <w:pStyle w:val="Default"/>
        <w:jc w:val="both"/>
        <w:rPr>
          <w:highlight w:val="yellow"/>
        </w:rPr>
      </w:pPr>
    </w:p>
    <w:p w:rsidR="00B468F0" w:rsidRPr="00562B9D" w:rsidRDefault="00B468F0" w:rsidP="00B468F0">
      <w:pPr>
        <w:pStyle w:val="Default"/>
        <w:jc w:val="both"/>
        <w:rPr>
          <w:u w:val="single"/>
          <w:lang w:val="x-none"/>
        </w:rPr>
      </w:pPr>
      <w:r w:rsidRPr="00562B9D">
        <w:rPr>
          <w:u w:val="single"/>
          <w:lang w:val="x-none"/>
        </w:rPr>
        <w:t>Vouchery pro veřejný sektor:</w:t>
      </w:r>
    </w:p>
    <w:p w:rsidR="00B468F0" w:rsidRPr="00562B9D" w:rsidRDefault="00B468F0" w:rsidP="00B468F0">
      <w:pPr>
        <w:pStyle w:val="Default"/>
        <w:jc w:val="both"/>
      </w:pPr>
      <w:r w:rsidRPr="00562B9D">
        <w:rPr>
          <w:i/>
          <w:lang w:val="x-none"/>
        </w:rPr>
        <w:t>Příprava projektů</w:t>
      </w:r>
      <w:r w:rsidRPr="00562B9D">
        <w:rPr>
          <w:lang w:val="x-none"/>
        </w:rPr>
        <w:t xml:space="preserve"> – dne 15. 7. byla výzva vyhlášena prostřednictvím Odboru investic. Příjem žádostí b</w:t>
      </w:r>
      <w:r w:rsidR="00562B9D" w:rsidRPr="00562B9D">
        <w:t>yl</w:t>
      </w:r>
      <w:r w:rsidRPr="00562B9D">
        <w:rPr>
          <w:lang w:val="x-none"/>
        </w:rPr>
        <w:t xml:space="preserve"> spuštěn dne 16. 9. 2024.</w:t>
      </w:r>
      <w:r w:rsidR="00562B9D" w:rsidRPr="00562B9D">
        <w:t xml:space="preserve"> </w:t>
      </w:r>
      <w:r w:rsidR="00AC327F">
        <w:t xml:space="preserve">Celková alokace programu činí 50 mil. Kč. K datu 10. 2. </w:t>
      </w:r>
      <w:r w:rsidR="00AC327F">
        <w:lastRenderedPageBreak/>
        <w:t xml:space="preserve">2025 bylo </w:t>
      </w:r>
      <w:r w:rsidR="00562B9D" w:rsidRPr="00562B9D">
        <w:t>podáno 17 žádostí o celkovém finančním objemu 12 091 437 Kč.</w:t>
      </w:r>
      <w:r w:rsidR="00AC327F">
        <w:t xml:space="preserve"> Příjem žádostí bude ukončen dne 1. 9. 2025.</w:t>
      </w:r>
    </w:p>
    <w:p w:rsidR="00B468F0" w:rsidRPr="00562B9D" w:rsidRDefault="00B468F0" w:rsidP="00B468F0">
      <w:pPr>
        <w:pStyle w:val="Default"/>
        <w:jc w:val="both"/>
      </w:pPr>
      <w:r w:rsidRPr="00562B9D">
        <w:rPr>
          <w:i/>
          <w:lang w:val="x-none"/>
        </w:rPr>
        <w:t>Náborové příspěvky pro učitele</w:t>
      </w:r>
      <w:r w:rsidRPr="00562B9D">
        <w:rPr>
          <w:lang w:val="x-none"/>
        </w:rPr>
        <w:t xml:space="preserve"> – dne 26. 6. 2024 byla výzva vyhlášena prostřednictvím Odboru investic. Příjem žádostí byl spuštěn dne 1. 8. 2024.</w:t>
      </w:r>
      <w:r w:rsidR="00562B9D" w:rsidRPr="00562B9D">
        <w:t xml:space="preserve"> </w:t>
      </w:r>
      <w:r w:rsidR="00AC327F">
        <w:t>Celková alokace</w:t>
      </w:r>
      <w:r w:rsidR="008223D9">
        <w:t xml:space="preserve"> programu</w:t>
      </w:r>
      <w:r w:rsidR="00AC327F">
        <w:t xml:space="preserve"> činí 22, 5 mil. Kč. </w:t>
      </w:r>
      <w:r w:rsidR="00562B9D" w:rsidRPr="00562B9D">
        <w:t xml:space="preserve">K datu 10. 2. 2025 byly podány 3 žádosti o celkovém finančním objemu 2 307 000 Kč. </w:t>
      </w:r>
      <w:r w:rsidR="00AC327F">
        <w:t>Příjem žádostí bude ukončen</w:t>
      </w:r>
      <w:r w:rsidR="008223D9">
        <w:t xml:space="preserve"> 30. 9. 2025.</w:t>
      </w:r>
    </w:p>
    <w:p w:rsidR="00B468F0" w:rsidRPr="0001000C" w:rsidRDefault="00B468F0" w:rsidP="00B468F0">
      <w:pPr>
        <w:pStyle w:val="Default"/>
        <w:jc w:val="both"/>
      </w:pPr>
      <w:r w:rsidRPr="0001000C">
        <w:rPr>
          <w:i/>
          <w:lang w:val="x-none"/>
        </w:rPr>
        <w:t xml:space="preserve">Kreativní vouchery pro veřejný sektor - </w:t>
      </w:r>
      <w:r w:rsidRPr="0001000C">
        <w:rPr>
          <w:lang w:val="x-none"/>
        </w:rPr>
        <w:t xml:space="preserve">výzva byla ze strany řídícího orgánu vyhlášena ke dni 31. 7. 2024. Vouchery budou zaměřeny na podporu služeb subjektů působících v kulturních a kreativních odvětvích jako architektura, interiérový design, design služeb, UX/UI design, film, video, televize, hudba, zvuk, fotografie, grafický design, </w:t>
      </w:r>
      <w:proofErr w:type="spellStart"/>
      <w:r w:rsidRPr="0001000C">
        <w:rPr>
          <w:lang w:val="x-none"/>
        </w:rPr>
        <w:t>branding</w:t>
      </w:r>
      <w:proofErr w:type="spellEnd"/>
      <w:r w:rsidRPr="0001000C">
        <w:rPr>
          <w:lang w:val="x-none"/>
        </w:rPr>
        <w:t>, herní průmysl, informační a komunikační technologie, webdesign, kulturní dědictví nebo práce s texty.</w:t>
      </w:r>
      <w:r w:rsidR="0001000C">
        <w:t xml:space="preserve"> </w:t>
      </w:r>
      <w:r w:rsidR="0095650F">
        <w:t xml:space="preserve">Celková alokace </w:t>
      </w:r>
      <w:r w:rsidR="00AC327F">
        <w:t xml:space="preserve">programu </w:t>
      </w:r>
      <w:r w:rsidR="0095650F">
        <w:t xml:space="preserve">činí 30 mil. Kč. </w:t>
      </w:r>
      <w:r w:rsidR="0001000C">
        <w:t>Předpokládaný termín vyhlášení</w:t>
      </w:r>
      <w:r w:rsidR="0095650F">
        <w:t xml:space="preserve"> výzvy ke konečným žadatelům prostřednictvím Odboru investic je stanoven na září 2025.</w:t>
      </w:r>
    </w:p>
    <w:p w:rsidR="00B468F0" w:rsidRPr="009A5A99" w:rsidRDefault="00B468F0" w:rsidP="00B468F0">
      <w:pPr>
        <w:pStyle w:val="Default"/>
        <w:jc w:val="both"/>
        <w:rPr>
          <w:highlight w:val="yellow"/>
        </w:rPr>
      </w:pPr>
    </w:p>
    <w:p w:rsidR="00B468F0" w:rsidRPr="00EC0FFD" w:rsidRDefault="00B468F0" w:rsidP="00B468F0">
      <w:pPr>
        <w:pStyle w:val="Default"/>
        <w:jc w:val="both"/>
        <w:rPr>
          <w:lang w:val="x-none"/>
        </w:rPr>
      </w:pPr>
      <w:r w:rsidRPr="00EC0FFD">
        <w:rPr>
          <w:b/>
          <w:bCs/>
          <w:lang w:val="x-none"/>
        </w:rPr>
        <w:t>Finanční nástroje:</w:t>
      </w:r>
    </w:p>
    <w:p w:rsidR="00B468F0" w:rsidRPr="00EC0FFD" w:rsidRDefault="00B468F0" w:rsidP="00B468F0">
      <w:pPr>
        <w:pStyle w:val="Default"/>
        <w:jc w:val="both"/>
      </w:pPr>
      <w:r w:rsidRPr="00EC0FFD">
        <w:rPr>
          <w:u w:val="single"/>
        </w:rPr>
        <w:t xml:space="preserve">Úvěr transformace pro podnikatele (finanční nástroje) </w:t>
      </w:r>
      <w:r w:rsidRPr="00EC0FFD">
        <w:t xml:space="preserve">– </w:t>
      </w:r>
      <w:r w:rsidR="008C3DB0">
        <w:t>Celková alokace programu činí 700 mil. Kč. K</w:t>
      </w:r>
      <w:r w:rsidRPr="00EC0FFD">
        <w:t xml:space="preserve"> datu 31. </w:t>
      </w:r>
      <w:r w:rsidR="00697BBF" w:rsidRPr="00EC0FFD">
        <w:t>12</w:t>
      </w:r>
      <w:r w:rsidRPr="00EC0FFD">
        <w:t xml:space="preserve">. 2024 bylo podáno </w:t>
      </w:r>
      <w:r w:rsidR="00697BBF" w:rsidRPr="00EC0FFD">
        <w:t>4</w:t>
      </w:r>
      <w:r w:rsidRPr="00EC0FFD">
        <w:t xml:space="preserve">4 žádostí do Úvěru transformace o celkovém finančním objemu </w:t>
      </w:r>
      <w:r w:rsidR="00697BBF" w:rsidRPr="00EC0FFD">
        <w:t>713,1</w:t>
      </w:r>
      <w:r w:rsidRPr="00EC0FFD">
        <w:t xml:space="preserve"> mil. Kč. Počet uzavřených smluv je </w:t>
      </w:r>
      <w:r w:rsidR="00EC0FFD" w:rsidRPr="00EC0FFD">
        <w:t>11</w:t>
      </w:r>
      <w:r w:rsidRPr="00EC0FFD">
        <w:t xml:space="preserve"> o celkovém finančním objemu 1</w:t>
      </w:r>
      <w:r w:rsidR="00EC0FFD" w:rsidRPr="00EC0FFD">
        <w:t>79</w:t>
      </w:r>
      <w:r w:rsidRPr="00EC0FFD">
        <w:t>,</w:t>
      </w:r>
      <w:r w:rsidR="00EC0FFD" w:rsidRPr="00EC0FFD">
        <w:t>2</w:t>
      </w:r>
      <w:r w:rsidRPr="00EC0FFD">
        <w:t xml:space="preserve"> mil. Kč</w:t>
      </w:r>
      <w:r w:rsidR="008C3DB0">
        <w:t xml:space="preserve">. Příjem žádostí bude ukončen dne </w:t>
      </w:r>
      <w:r w:rsidR="00681FBF">
        <w:t>31. 12. 2026.</w:t>
      </w:r>
    </w:p>
    <w:p w:rsidR="00B468F0" w:rsidRPr="00EC0FFD" w:rsidRDefault="00B468F0" w:rsidP="00B468F0">
      <w:pPr>
        <w:pStyle w:val="Default"/>
        <w:jc w:val="both"/>
      </w:pPr>
      <w:r w:rsidRPr="00EC0FFD">
        <w:t xml:space="preserve">Podrobné informace naleznete v příloze </w:t>
      </w:r>
      <w:r w:rsidRPr="002349DB">
        <w:t xml:space="preserve">č. </w:t>
      </w:r>
      <w:r w:rsidR="005D5FD9">
        <w:t>3</w:t>
      </w:r>
      <w:r w:rsidRPr="00EC0FFD">
        <w:t xml:space="preserve"> tohoto materiálu.</w:t>
      </w:r>
    </w:p>
    <w:p w:rsidR="00B468F0" w:rsidRPr="009A5A99" w:rsidRDefault="00B468F0" w:rsidP="00B468F0">
      <w:pPr>
        <w:pStyle w:val="Default"/>
        <w:jc w:val="both"/>
        <w:rPr>
          <w:highlight w:val="yellow"/>
          <w:lang w:val="x-none"/>
        </w:rPr>
      </w:pPr>
    </w:p>
    <w:p w:rsidR="00B468F0" w:rsidRPr="00790606" w:rsidRDefault="00B468F0" w:rsidP="00B468F0">
      <w:pPr>
        <w:pStyle w:val="Default"/>
        <w:jc w:val="both"/>
        <w:rPr>
          <w:b/>
          <w:bCs/>
          <w:u w:val="single"/>
          <w:lang w:val="x-none"/>
        </w:rPr>
      </w:pPr>
      <w:r w:rsidRPr="00790606">
        <w:rPr>
          <w:b/>
          <w:bCs/>
          <w:u w:val="single"/>
          <w:lang w:val="x-none"/>
        </w:rPr>
        <w:t>Monitorovací výbor OPST:</w:t>
      </w:r>
    </w:p>
    <w:p w:rsidR="00B468F0" w:rsidRPr="00790606" w:rsidRDefault="00B468F0" w:rsidP="00B468F0">
      <w:pPr>
        <w:pStyle w:val="Default"/>
        <w:jc w:val="both"/>
        <w:rPr>
          <w:lang w:val="x-none"/>
        </w:rPr>
      </w:pPr>
      <w:r w:rsidRPr="00790606">
        <w:rPr>
          <w:lang w:val="x-none"/>
        </w:rPr>
        <w:t xml:space="preserve">Dne </w:t>
      </w:r>
      <w:r w:rsidR="00790606" w:rsidRPr="00790606">
        <w:t>2</w:t>
      </w:r>
      <w:r w:rsidRPr="00790606">
        <w:rPr>
          <w:lang w:val="x-none"/>
        </w:rPr>
        <w:t xml:space="preserve">. </w:t>
      </w:r>
      <w:r w:rsidR="00790606" w:rsidRPr="00790606">
        <w:t>12</w:t>
      </w:r>
      <w:r w:rsidRPr="00790606">
        <w:rPr>
          <w:lang w:val="x-none"/>
        </w:rPr>
        <w:t xml:space="preserve">. 2024 proběhlo v pořadí </w:t>
      </w:r>
      <w:r w:rsidR="00790606" w:rsidRPr="00790606">
        <w:rPr>
          <w:u w:val="single"/>
        </w:rPr>
        <w:t>9</w:t>
      </w:r>
      <w:r w:rsidRPr="00790606">
        <w:rPr>
          <w:u w:val="single"/>
          <w:lang w:val="x-none"/>
        </w:rPr>
        <w:t>. zasedání Monitorovacího výboru OPST</w:t>
      </w:r>
      <w:r w:rsidRPr="00790606">
        <w:rPr>
          <w:lang w:val="x-none"/>
        </w:rPr>
        <w:t xml:space="preserve">, na kterém byla schválena Kritéria pro výběr operací v oblastech – </w:t>
      </w:r>
      <w:r w:rsidRPr="00790606">
        <w:rPr>
          <w:i/>
          <w:lang w:val="x-none"/>
        </w:rPr>
        <w:t>„</w:t>
      </w:r>
      <w:r w:rsidR="00790606" w:rsidRPr="00790606">
        <w:rPr>
          <w:i/>
        </w:rPr>
        <w:t>Výzkum a vývoj – budování výzkumných kapacit</w:t>
      </w:r>
      <w:r w:rsidRPr="00790606">
        <w:rPr>
          <w:i/>
          <w:lang w:val="x-none"/>
        </w:rPr>
        <w:t>“</w:t>
      </w:r>
      <w:r w:rsidRPr="00790606">
        <w:rPr>
          <w:lang w:val="x-none"/>
        </w:rPr>
        <w:t xml:space="preserve"> a </w:t>
      </w:r>
      <w:r w:rsidRPr="00790606">
        <w:rPr>
          <w:i/>
          <w:lang w:val="x-none"/>
        </w:rPr>
        <w:t>„</w:t>
      </w:r>
      <w:r w:rsidR="00790606" w:rsidRPr="00790606">
        <w:rPr>
          <w:i/>
        </w:rPr>
        <w:t xml:space="preserve">Finanční </w:t>
      </w:r>
      <w:r w:rsidR="000D74E4" w:rsidRPr="00790606">
        <w:rPr>
          <w:i/>
        </w:rPr>
        <w:t>nástroj – Záruky</w:t>
      </w:r>
      <w:r w:rsidRPr="00790606">
        <w:rPr>
          <w:i/>
          <w:lang w:val="x-none"/>
        </w:rPr>
        <w:t>“</w:t>
      </w:r>
      <w:r w:rsidRPr="00790606">
        <w:rPr>
          <w:lang w:val="x-none"/>
        </w:rPr>
        <w:t>.</w:t>
      </w:r>
    </w:p>
    <w:p w:rsidR="00B468F0" w:rsidRPr="00790606" w:rsidRDefault="00B468F0" w:rsidP="00B468F0">
      <w:pPr>
        <w:pStyle w:val="Default"/>
        <w:rPr>
          <w:lang w:val="x-none"/>
        </w:rPr>
      </w:pPr>
      <w:r w:rsidRPr="00790606">
        <w:rPr>
          <w:lang w:val="x-none"/>
        </w:rPr>
        <w:t xml:space="preserve">Další Monitorovací výbor proběhne </w:t>
      </w:r>
      <w:r w:rsidR="00790606" w:rsidRPr="00790606">
        <w:t>4. 3. 2025</w:t>
      </w:r>
      <w:r w:rsidRPr="00790606">
        <w:rPr>
          <w:lang w:val="x-none"/>
        </w:rPr>
        <w:t>.</w:t>
      </w:r>
    </w:p>
    <w:p w:rsidR="00B468F0" w:rsidRPr="009A5A99" w:rsidRDefault="00B468F0" w:rsidP="00B468F0">
      <w:pPr>
        <w:pStyle w:val="Default"/>
        <w:rPr>
          <w:highlight w:val="yellow"/>
          <w:lang w:val="x-none"/>
        </w:rPr>
      </w:pPr>
    </w:p>
    <w:p w:rsidR="00B468F0" w:rsidRPr="00B468F0" w:rsidRDefault="00B468F0" w:rsidP="00B468F0">
      <w:pPr>
        <w:pStyle w:val="Default"/>
        <w:jc w:val="both"/>
        <w:rPr>
          <w:lang w:val="x-none"/>
        </w:rPr>
      </w:pPr>
      <w:r w:rsidRPr="00790606">
        <w:rPr>
          <w:lang w:val="x-none"/>
        </w:rPr>
        <w:t xml:space="preserve">Detaily jsou uvedeny v zápisu z </w:t>
      </w:r>
      <w:r w:rsidR="00790606" w:rsidRPr="00790606">
        <w:t>9</w:t>
      </w:r>
      <w:r w:rsidRPr="00790606">
        <w:rPr>
          <w:lang w:val="x-none"/>
        </w:rPr>
        <w:t xml:space="preserve">. Monitorovacího výboru, který je přílohou č. </w:t>
      </w:r>
      <w:r w:rsidR="005D5FD9">
        <w:t>4</w:t>
      </w:r>
      <w:r w:rsidRPr="00790606">
        <w:rPr>
          <w:lang w:val="x-none"/>
        </w:rPr>
        <w:t xml:space="preserve"> tohoto materiálu.</w:t>
      </w:r>
    </w:p>
    <w:p w:rsidR="00B468F0" w:rsidRPr="00B468F0" w:rsidRDefault="00B468F0" w:rsidP="00570EAB">
      <w:pPr>
        <w:pStyle w:val="Default"/>
        <w:jc w:val="both"/>
      </w:pPr>
    </w:p>
    <w:p w:rsidR="00B468F0" w:rsidRPr="00B468F0" w:rsidRDefault="00B468F0" w:rsidP="00570EAB">
      <w:pPr>
        <w:pStyle w:val="Default"/>
        <w:jc w:val="both"/>
      </w:pPr>
    </w:p>
    <w:p w:rsidR="00B468F0" w:rsidRPr="00B468F0" w:rsidRDefault="00B468F0" w:rsidP="00B468F0">
      <w:pPr>
        <w:pStyle w:val="Default"/>
        <w:jc w:val="both"/>
        <w:rPr>
          <w:b/>
          <w:bCs/>
          <w:lang w:val="x-none"/>
        </w:rPr>
      </w:pPr>
      <w:r w:rsidRPr="00B468F0">
        <w:rPr>
          <w:b/>
          <w:bCs/>
          <w:u w:val="single"/>
          <w:lang w:val="x-none"/>
        </w:rPr>
        <w:t>Přílohy:</w:t>
      </w:r>
      <w:r w:rsidRPr="00B468F0">
        <w:rPr>
          <w:b/>
          <w:bCs/>
          <w:lang w:val="x-none"/>
        </w:rPr>
        <w:t xml:space="preserve"> </w:t>
      </w:r>
    </w:p>
    <w:p w:rsidR="00B468F0" w:rsidRPr="00B468F0" w:rsidRDefault="00B468F0" w:rsidP="00B468F0">
      <w:pPr>
        <w:pStyle w:val="Default"/>
        <w:jc w:val="both"/>
      </w:pPr>
    </w:p>
    <w:p w:rsidR="00B468F0" w:rsidRPr="00420B63" w:rsidRDefault="00B468F0" w:rsidP="00B468F0">
      <w:pPr>
        <w:pStyle w:val="Default"/>
        <w:jc w:val="both"/>
      </w:pPr>
      <w:r w:rsidRPr="00420B63">
        <w:t>B</w:t>
      </w:r>
      <w:r w:rsidR="00261AFE" w:rsidRPr="00420B63">
        <w:t>5</w:t>
      </w:r>
      <w:r w:rsidRPr="00420B63">
        <w:t>_ORR_harmonogram_SP_priloha_c_1</w:t>
      </w:r>
    </w:p>
    <w:p w:rsidR="00B468F0" w:rsidRPr="00420B63" w:rsidRDefault="00B468F0" w:rsidP="00B468F0">
      <w:pPr>
        <w:pStyle w:val="Default"/>
        <w:jc w:val="both"/>
      </w:pPr>
      <w:r w:rsidRPr="00420B63">
        <w:t>B</w:t>
      </w:r>
      <w:r w:rsidR="00261AFE" w:rsidRPr="00420B63">
        <w:t>5</w:t>
      </w:r>
      <w:r w:rsidRPr="00420B63">
        <w:t>_ORR_stav_cerpani_vyzev_priloha_c_2</w:t>
      </w:r>
    </w:p>
    <w:p w:rsidR="00B468F0" w:rsidRPr="00420B63" w:rsidRDefault="00B468F0" w:rsidP="00B468F0">
      <w:pPr>
        <w:pStyle w:val="Default"/>
        <w:jc w:val="both"/>
      </w:pPr>
      <w:r w:rsidRPr="00420B63">
        <w:t>B</w:t>
      </w:r>
      <w:r w:rsidR="00261AFE" w:rsidRPr="00420B63">
        <w:t>5</w:t>
      </w:r>
      <w:r w:rsidRPr="00420B63">
        <w:t>_ORR_uver_transformace_priloha_c_</w:t>
      </w:r>
      <w:r w:rsidR="005D5FD9">
        <w:t>3</w:t>
      </w:r>
    </w:p>
    <w:p w:rsidR="00B468F0" w:rsidRDefault="00B468F0" w:rsidP="00B468F0">
      <w:pPr>
        <w:pStyle w:val="Default"/>
        <w:jc w:val="both"/>
      </w:pPr>
      <w:r w:rsidRPr="00F15003">
        <w:t>B</w:t>
      </w:r>
      <w:r w:rsidR="00261AFE" w:rsidRPr="00F15003">
        <w:t>5</w:t>
      </w:r>
      <w:r w:rsidRPr="00F15003">
        <w:t>_ORR_zapis_</w:t>
      </w:r>
      <w:r w:rsidR="00420B63" w:rsidRPr="00F15003">
        <w:t>9</w:t>
      </w:r>
      <w:r w:rsidRPr="00F15003">
        <w:t>_MV_priloha_c_</w:t>
      </w:r>
      <w:r w:rsidR="005D5FD9">
        <w:t>4</w:t>
      </w:r>
    </w:p>
    <w:p w:rsidR="00123139" w:rsidRPr="00B468F0" w:rsidRDefault="00123139" w:rsidP="00B468F0">
      <w:pPr>
        <w:pStyle w:val="Default"/>
        <w:jc w:val="both"/>
      </w:pPr>
      <w:r>
        <w:t>B5_ORR_stanovisko_evropske_komise_priloha_c_5</w:t>
      </w:r>
    </w:p>
    <w:p w:rsidR="00A81F70" w:rsidRPr="00537049" w:rsidRDefault="00A81F70" w:rsidP="00A81F70">
      <w:pPr>
        <w:pStyle w:val="Default"/>
        <w:jc w:val="both"/>
        <w:rPr>
          <w:highlight w:val="yellow"/>
        </w:rPr>
      </w:pPr>
    </w:p>
    <w:sectPr w:rsidR="00A81F70" w:rsidRPr="00537049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70A" w:rsidRDefault="005E470A">
      <w:pPr>
        <w:spacing w:line="240" w:lineRule="auto"/>
      </w:pPr>
      <w:r>
        <w:separator/>
      </w:r>
    </w:p>
  </w:endnote>
  <w:endnote w:type="continuationSeparator" w:id="0">
    <w:p w:rsidR="005E470A" w:rsidRDefault="005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70A" w:rsidRDefault="005E470A">
      <w:pPr>
        <w:spacing w:line="240" w:lineRule="auto"/>
      </w:pPr>
      <w:r>
        <w:separator/>
      </w:r>
    </w:p>
  </w:footnote>
  <w:footnote w:type="continuationSeparator" w:id="0">
    <w:p w:rsidR="005E470A" w:rsidRDefault="005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5A29BF" w:rsidP="002A34C8">
    <w:pPr>
      <w:pStyle w:val="Zhlav"/>
    </w:pPr>
    <w:r>
      <w:rPr>
        <w:noProof/>
      </w:rPr>
      <w:drawing>
        <wp:inline distT="0" distB="0" distL="0" distR="0" wp14:anchorId="19CE384C" wp14:editId="17526F76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6062C"/>
    <w:multiLevelType w:val="multilevel"/>
    <w:tmpl w:val="1082B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75063F6"/>
    <w:multiLevelType w:val="hybridMultilevel"/>
    <w:tmpl w:val="278A2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06493"/>
    <w:multiLevelType w:val="hybridMultilevel"/>
    <w:tmpl w:val="BCE2C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2046CC5"/>
    <w:multiLevelType w:val="hybridMultilevel"/>
    <w:tmpl w:val="29760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8"/>
  </w:num>
  <w:num w:numId="3">
    <w:abstractNumId w:val="25"/>
  </w:num>
  <w:num w:numId="4">
    <w:abstractNumId w:val="14"/>
  </w:num>
  <w:num w:numId="5">
    <w:abstractNumId w:val="19"/>
  </w:num>
  <w:num w:numId="6">
    <w:abstractNumId w:val="23"/>
  </w:num>
  <w:num w:numId="7">
    <w:abstractNumId w:val="20"/>
  </w:num>
  <w:num w:numId="8">
    <w:abstractNumId w:val="10"/>
  </w:num>
  <w:num w:numId="9">
    <w:abstractNumId w:val="1"/>
  </w:num>
  <w:num w:numId="10">
    <w:abstractNumId w:val="22"/>
  </w:num>
  <w:num w:numId="11">
    <w:abstractNumId w:val="8"/>
  </w:num>
  <w:num w:numId="12">
    <w:abstractNumId w:val="12"/>
  </w:num>
  <w:num w:numId="13">
    <w:abstractNumId w:val="15"/>
  </w:num>
  <w:num w:numId="14">
    <w:abstractNumId w:val="6"/>
  </w:num>
  <w:num w:numId="15">
    <w:abstractNumId w:val="11"/>
  </w:num>
  <w:num w:numId="16">
    <w:abstractNumId w:val="13"/>
  </w:num>
  <w:num w:numId="17">
    <w:abstractNumId w:val="5"/>
  </w:num>
  <w:num w:numId="18">
    <w:abstractNumId w:val="2"/>
  </w:num>
  <w:num w:numId="19">
    <w:abstractNumId w:val="4"/>
  </w:num>
  <w:num w:numId="20">
    <w:abstractNumId w:val="24"/>
  </w:num>
  <w:num w:numId="21">
    <w:abstractNumId w:val="16"/>
  </w:num>
  <w:num w:numId="22">
    <w:abstractNumId w:val="7"/>
  </w:num>
  <w:num w:numId="23">
    <w:abstractNumId w:val="9"/>
  </w:num>
  <w:num w:numId="24">
    <w:abstractNumId w:val="17"/>
  </w:num>
  <w:num w:numId="25">
    <w:abstractNumId w:val="2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000C"/>
    <w:rsid w:val="000138EE"/>
    <w:rsid w:val="000209C7"/>
    <w:rsid w:val="00021F87"/>
    <w:rsid w:val="0002276D"/>
    <w:rsid w:val="00035E25"/>
    <w:rsid w:val="0004097F"/>
    <w:rsid w:val="000461FD"/>
    <w:rsid w:val="00046A62"/>
    <w:rsid w:val="00054044"/>
    <w:rsid w:val="000569D6"/>
    <w:rsid w:val="00095A42"/>
    <w:rsid w:val="000A4C5F"/>
    <w:rsid w:val="000A6361"/>
    <w:rsid w:val="000B22E4"/>
    <w:rsid w:val="000B415B"/>
    <w:rsid w:val="000B5EC2"/>
    <w:rsid w:val="000D350C"/>
    <w:rsid w:val="000D74E4"/>
    <w:rsid w:val="000D756F"/>
    <w:rsid w:val="000E7773"/>
    <w:rsid w:val="000F16F4"/>
    <w:rsid w:val="000F595F"/>
    <w:rsid w:val="0010765C"/>
    <w:rsid w:val="00114423"/>
    <w:rsid w:val="00123139"/>
    <w:rsid w:val="00135052"/>
    <w:rsid w:val="00141D7D"/>
    <w:rsid w:val="00142ADF"/>
    <w:rsid w:val="00144D8F"/>
    <w:rsid w:val="00161133"/>
    <w:rsid w:val="00181F2D"/>
    <w:rsid w:val="00184486"/>
    <w:rsid w:val="001847AC"/>
    <w:rsid w:val="00186776"/>
    <w:rsid w:val="00187D4E"/>
    <w:rsid w:val="001C0446"/>
    <w:rsid w:val="001C2013"/>
    <w:rsid w:val="001C4B96"/>
    <w:rsid w:val="001E2ED1"/>
    <w:rsid w:val="001F6952"/>
    <w:rsid w:val="001F69AE"/>
    <w:rsid w:val="00212491"/>
    <w:rsid w:val="00217DD2"/>
    <w:rsid w:val="002349DB"/>
    <w:rsid w:val="00236E1A"/>
    <w:rsid w:val="00246EF8"/>
    <w:rsid w:val="00261AFE"/>
    <w:rsid w:val="00270440"/>
    <w:rsid w:val="00276771"/>
    <w:rsid w:val="002A0631"/>
    <w:rsid w:val="002A34C8"/>
    <w:rsid w:val="002A569C"/>
    <w:rsid w:val="002D5B9A"/>
    <w:rsid w:val="002F5652"/>
    <w:rsid w:val="002F7CA6"/>
    <w:rsid w:val="0030281C"/>
    <w:rsid w:val="00304264"/>
    <w:rsid w:val="0030463C"/>
    <w:rsid w:val="00311E09"/>
    <w:rsid w:val="003438BC"/>
    <w:rsid w:val="003602B3"/>
    <w:rsid w:val="00371183"/>
    <w:rsid w:val="003847DE"/>
    <w:rsid w:val="003A0138"/>
    <w:rsid w:val="003A5D55"/>
    <w:rsid w:val="003B7E49"/>
    <w:rsid w:val="003D2180"/>
    <w:rsid w:val="003D483D"/>
    <w:rsid w:val="003E568F"/>
    <w:rsid w:val="003F6489"/>
    <w:rsid w:val="00404BD5"/>
    <w:rsid w:val="00420B63"/>
    <w:rsid w:val="0044213E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20DE"/>
    <w:rsid w:val="004C753B"/>
    <w:rsid w:val="004D509C"/>
    <w:rsid w:val="004E0E31"/>
    <w:rsid w:val="004F6236"/>
    <w:rsid w:val="004F7D6D"/>
    <w:rsid w:val="00502007"/>
    <w:rsid w:val="0051346B"/>
    <w:rsid w:val="0051710F"/>
    <w:rsid w:val="00523BF9"/>
    <w:rsid w:val="00537049"/>
    <w:rsid w:val="0053713B"/>
    <w:rsid w:val="00562B9D"/>
    <w:rsid w:val="00570EAB"/>
    <w:rsid w:val="005811AA"/>
    <w:rsid w:val="00586AAE"/>
    <w:rsid w:val="005A03EC"/>
    <w:rsid w:val="005A29BF"/>
    <w:rsid w:val="005B5C77"/>
    <w:rsid w:val="005B72BC"/>
    <w:rsid w:val="005D5FD9"/>
    <w:rsid w:val="005D711E"/>
    <w:rsid w:val="005E470A"/>
    <w:rsid w:val="005F7569"/>
    <w:rsid w:val="0060093E"/>
    <w:rsid w:val="006015F9"/>
    <w:rsid w:val="00621C8D"/>
    <w:rsid w:val="00624D7F"/>
    <w:rsid w:val="0062619E"/>
    <w:rsid w:val="00631612"/>
    <w:rsid w:val="006368DC"/>
    <w:rsid w:val="00642783"/>
    <w:rsid w:val="00643236"/>
    <w:rsid w:val="006436F9"/>
    <w:rsid w:val="00654558"/>
    <w:rsid w:val="00662CD1"/>
    <w:rsid w:val="0066323A"/>
    <w:rsid w:val="00663B7A"/>
    <w:rsid w:val="00681FBF"/>
    <w:rsid w:val="00694F4A"/>
    <w:rsid w:val="00697BBF"/>
    <w:rsid w:val="006B5839"/>
    <w:rsid w:val="006B7C5F"/>
    <w:rsid w:val="006C0C43"/>
    <w:rsid w:val="006C2865"/>
    <w:rsid w:val="006C747C"/>
    <w:rsid w:val="006D3616"/>
    <w:rsid w:val="0071308D"/>
    <w:rsid w:val="007169BA"/>
    <w:rsid w:val="00721BF7"/>
    <w:rsid w:val="00725845"/>
    <w:rsid w:val="00732BF2"/>
    <w:rsid w:val="00732DC2"/>
    <w:rsid w:val="00756559"/>
    <w:rsid w:val="0076491E"/>
    <w:rsid w:val="007803F8"/>
    <w:rsid w:val="00781F44"/>
    <w:rsid w:val="00786F86"/>
    <w:rsid w:val="00790606"/>
    <w:rsid w:val="007926F7"/>
    <w:rsid w:val="007A7D92"/>
    <w:rsid w:val="007C69B2"/>
    <w:rsid w:val="007D77B1"/>
    <w:rsid w:val="007E05AC"/>
    <w:rsid w:val="007E3563"/>
    <w:rsid w:val="007F3CFE"/>
    <w:rsid w:val="007F71D6"/>
    <w:rsid w:val="008223D9"/>
    <w:rsid w:val="008240C2"/>
    <w:rsid w:val="00826A2D"/>
    <w:rsid w:val="0083070B"/>
    <w:rsid w:val="00840AAA"/>
    <w:rsid w:val="00843CEA"/>
    <w:rsid w:val="0085762A"/>
    <w:rsid w:val="008A55BB"/>
    <w:rsid w:val="008C34EB"/>
    <w:rsid w:val="008C3DB0"/>
    <w:rsid w:val="008D5C04"/>
    <w:rsid w:val="008F1241"/>
    <w:rsid w:val="00940335"/>
    <w:rsid w:val="0095650F"/>
    <w:rsid w:val="00961F8D"/>
    <w:rsid w:val="0098523F"/>
    <w:rsid w:val="00996FD6"/>
    <w:rsid w:val="009A5A99"/>
    <w:rsid w:val="009A5CC0"/>
    <w:rsid w:val="009B47B8"/>
    <w:rsid w:val="009B6D9E"/>
    <w:rsid w:val="009D20FD"/>
    <w:rsid w:val="009D3D93"/>
    <w:rsid w:val="009E0871"/>
    <w:rsid w:val="009F4432"/>
    <w:rsid w:val="00A022D3"/>
    <w:rsid w:val="00A02F39"/>
    <w:rsid w:val="00A22842"/>
    <w:rsid w:val="00A256F0"/>
    <w:rsid w:val="00A36BBB"/>
    <w:rsid w:val="00A80A4C"/>
    <w:rsid w:val="00A81F70"/>
    <w:rsid w:val="00A95480"/>
    <w:rsid w:val="00AB512D"/>
    <w:rsid w:val="00AC327F"/>
    <w:rsid w:val="00AC5EA5"/>
    <w:rsid w:val="00AE2490"/>
    <w:rsid w:val="00AE5048"/>
    <w:rsid w:val="00AE6830"/>
    <w:rsid w:val="00AE74CC"/>
    <w:rsid w:val="00AF3840"/>
    <w:rsid w:val="00AF7EBA"/>
    <w:rsid w:val="00B12E86"/>
    <w:rsid w:val="00B12F57"/>
    <w:rsid w:val="00B16CA7"/>
    <w:rsid w:val="00B2035E"/>
    <w:rsid w:val="00B411B2"/>
    <w:rsid w:val="00B42096"/>
    <w:rsid w:val="00B430D6"/>
    <w:rsid w:val="00B468F0"/>
    <w:rsid w:val="00B5462B"/>
    <w:rsid w:val="00B54A5C"/>
    <w:rsid w:val="00B56D75"/>
    <w:rsid w:val="00B61D00"/>
    <w:rsid w:val="00B63D08"/>
    <w:rsid w:val="00B73997"/>
    <w:rsid w:val="00B804DF"/>
    <w:rsid w:val="00B80EF7"/>
    <w:rsid w:val="00B81F0D"/>
    <w:rsid w:val="00B84682"/>
    <w:rsid w:val="00B94625"/>
    <w:rsid w:val="00B94B6A"/>
    <w:rsid w:val="00BA1502"/>
    <w:rsid w:val="00BB5E85"/>
    <w:rsid w:val="00BB701F"/>
    <w:rsid w:val="00BC2A66"/>
    <w:rsid w:val="00BC5879"/>
    <w:rsid w:val="00BE67B8"/>
    <w:rsid w:val="00BF0B7D"/>
    <w:rsid w:val="00C02A15"/>
    <w:rsid w:val="00C0727D"/>
    <w:rsid w:val="00C1284A"/>
    <w:rsid w:val="00C14BDE"/>
    <w:rsid w:val="00C22178"/>
    <w:rsid w:val="00C26D6A"/>
    <w:rsid w:val="00C52F5E"/>
    <w:rsid w:val="00C5486B"/>
    <w:rsid w:val="00C632BE"/>
    <w:rsid w:val="00C71B5E"/>
    <w:rsid w:val="00C75D97"/>
    <w:rsid w:val="00C8047C"/>
    <w:rsid w:val="00C82A06"/>
    <w:rsid w:val="00C87A1C"/>
    <w:rsid w:val="00CA3EBF"/>
    <w:rsid w:val="00CB71D3"/>
    <w:rsid w:val="00CB7537"/>
    <w:rsid w:val="00CC00F7"/>
    <w:rsid w:val="00CC3637"/>
    <w:rsid w:val="00CD1064"/>
    <w:rsid w:val="00CD637F"/>
    <w:rsid w:val="00CD722E"/>
    <w:rsid w:val="00CF4C89"/>
    <w:rsid w:val="00D0379C"/>
    <w:rsid w:val="00D064CA"/>
    <w:rsid w:val="00D26726"/>
    <w:rsid w:val="00D41EAA"/>
    <w:rsid w:val="00D4324F"/>
    <w:rsid w:val="00D4611B"/>
    <w:rsid w:val="00D729F3"/>
    <w:rsid w:val="00D8618F"/>
    <w:rsid w:val="00D91577"/>
    <w:rsid w:val="00D93B53"/>
    <w:rsid w:val="00DB34FF"/>
    <w:rsid w:val="00DC6004"/>
    <w:rsid w:val="00DD43F5"/>
    <w:rsid w:val="00DE54BE"/>
    <w:rsid w:val="00DF30F6"/>
    <w:rsid w:val="00E06A89"/>
    <w:rsid w:val="00E14EC6"/>
    <w:rsid w:val="00E1554D"/>
    <w:rsid w:val="00E16384"/>
    <w:rsid w:val="00E30D41"/>
    <w:rsid w:val="00E43F6D"/>
    <w:rsid w:val="00E473BC"/>
    <w:rsid w:val="00E6588A"/>
    <w:rsid w:val="00E817EB"/>
    <w:rsid w:val="00EC0FFD"/>
    <w:rsid w:val="00EE1B8B"/>
    <w:rsid w:val="00EE38D0"/>
    <w:rsid w:val="00EE44FF"/>
    <w:rsid w:val="00F15003"/>
    <w:rsid w:val="00F151C4"/>
    <w:rsid w:val="00F24279"/>
    <w:rsid w:val="00F30639"/>
    <w:rsid w:val="00F31172"/>
    <w:rsid w:val="00F33F02"/>
    <w:rsid w:val="00F40EDE"/>
    <w:rsid w:val="00F422C4"/>
    <w:rsid w:val="00F65BC7"/>
    <w:rsid w:val="00F74A93"/>
    <w:rsid w:val="00F975E5"/>
    <w:rsid w:val="00F97865"/>
    <w:rsid w:val="00FA062D"/>
    <w:rsid w:val="00FC1FE9"/>
    <w:rsid w:val="00FC227F"/>
    <w:rsid w:val="00FE08C5"/>
    <w:rsid w:val="00FE0AE5"/>
    <w:rsid w:val="00FE6128"/>
    <w:rsid w:val="00FF0DBA"/>
    <w:rsid w:val="00FF248F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Odrážky,Nad,Odstavec cíl se seznamem,Odstavec se seznamem5,Odstavec se seznamem1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Odrážky Char,Nad Char,Odstavec cíl se seznamem Char,Odstavec se seznamem5 Char,Odstavec se seznamem1 Char,_Odstavec se seznamem Char,Seznam - odrážky Char,Conclusion de partie Char,Fiche List Paragraph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93B53"/>
    <w:pPr>
      <w:spacing w:line="240" w:lineRule="auto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93B53"/>
    <w:rPr>
      <w:rFonts w:ascii="Times New Roman" w:eastAsiaTheme="minorHAnsi" w:hAnsi="Times New Roman" w:cs="Times New Roman"/>
      <w:color w:val="auto"/>
      <w:szCs w:val="22"/>
    </w:rPr>
  </w:style>
  <w:style w:type="paragraph" w:customStyle="1" w:styleId="xmsolistparagraph">
    <w:name w:val="x_msolistparagraph"/>
    <w:basedOn w:val="Normln"/>
    <w:rsid w:val="009A5A99"/>
    <w:pPr>
      <w:spacing w:after="160" w:line="252" w:lineRule="auto"/>
      <w:ind w:left="720"/>
    </w:pPr>
    <w:rPr>
      <w:rFonts w:ascii="Calibri" w:eastAsiaTheme="minorHAns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E7D05-E80D-4641-8963-527E9B3E2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2314</TotalTime>
  <Pages>3</Pages>
  <Words>784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99</cp:revision>
  <cp:lastPrinted>2025-02-07T10:23:00Z</cp:lastPrinted>
  <dcterms:created xsi:type="dcterms:W3CDTF">2019-11-06T08:27:00Z</dcterms:created>
  <dcterms:modified xsi:type="dcterms:W3CDTF">2025-02-21T07:28:00Z</dcterms:modified>
</cp:coreProperties>
</file>